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F5B4" w14:textId="7B8024BA" w:rsidR="001A08DC" w:rsidRPr="0042222E" w:rsidRDefault="001A08DC" w:rsidP="001A08DC">
      <w:pPr>
        <w:rPr>
          <w:rFonts w:ascii="Times New Roman" w:hAnsi="Times New Roman" w:cs="Times New Roman"/>
        </w:rPr>
      </w:pPr>
      <w:r w:rsidRPr="0042222E">
        <w:rPr>
          <w:rFonts w:ascii="Times New Roman" w:hAnsi="Times New Roman" w:cs="Times New Roman"/>
        </w:rPr>
        <w:t>At Theoret Martel Insurance</w:t>
      </w:r>
      <w:r w:rsidR="00D325BE" w:rsidRPr="0042222E">
        <w:rPr>
          <w:rFonts w:ascii="Times New Roman" w:hAnsi="Times New Roman" w:cs="Times New Roman"/>
        </w:rPr>
        <w:t xml:space="preserve"> Brokers</w:t>
      </w:r>
      <w:r w:rsidRPr="0042222E">
        <w:rPr>
          <w:rFonts w:ascii="Times New Roman" w:hAnsi="Times New Roman" w:cs="Times New Roman"/>
        </w:rPr>
        <w:t xml:space="preserve">, </w:t>
      </w:r>
      <w:r w:rsidRPr="0042222E">
        <w:rPr>
          <w:rFonts w:ascii="Times New Roman" w:hAnsi="Times New Roman" w:cs="Times New Roman"/>
        </w:rPr>
        <w:t>we are committed to providing transparent and straightforward communication with our valued clients. In line with our dedication to full disclosure and integrity, we would like to take this opportunity to explain how our brokerage is compensated for the services we provide.</w:t>
      </w:r>
    </w:p>
    <w:p w14:paraId="3E0DECA8" w14:textId="410E5D2A" w:rsidR="001A08DC" w:rsidRPr="0042222E" w:rsidRDefault="001A08DC" w:rsidP="001A08DC">
      <w:pPr>
        <w:rPr>
          <w:rFonts w:ascii="Times New Roman" w:hAnsi="Times New Roman" w:cs="Times New Roman"/>
        </w:rPr>
      </w:pPr>
      <w:r w:rsidRPr="0042222E">
        <w:rPr>
          <w:rFonts w:ascii="Times New Roman" w:hAnsi="Times New Roman" w:cs="Times New Roman"/>
        </w:rPr>
        <w:t>As insurance brokers, we serve as intermediaries – a vital link between you and the insurance companies we represe</w:t>
      </w:r>
      <w:r w:rsidRPr="0042222E">
        <w:rPr>
          <w:rFonts w:ascii="Times New Roman" w:hAnsi="Times New Roman" w:cs="Times New Roman"/>
        </w:rPr>
        <w:t>nt. O</w:t>
      </w:r>
      <w:r w:rsidRPr="001A08DC">
        <w:rPr>
          <w:rFonts w:ascii="Times New Roman" w:hAnsi="Times New Roman" w:cs="Times New Roman"/>
        </w:rPr>
        <w:t>ur primary goal is to ensure that you have access to the best coverage</w:t>
      </w:r>
      <w:r w:rsidR="00D325BE" w:rsidRPr="0042222E">
        <w:rPr>
          <w:rFonts w:ascii="Times New Roman" w:hAnsi="Times New Roman" w:cs="Times New Roman"/>
        </w:rPr>
        <w:t>,</w:t>
      </w:r>
      <w:r w:rsidRPr="001A08DC">
        <w:rPr>
          <w:rFonts w:ascii="Times New Roman" w:hAnsi="Times New Roman" w:cs="Times New Roman"/>
        </w:rPr>
        <w:t xml:space="preserve"> at </w:t>
      </w:r>
      <w:r w:rsidR="00D325BE" w:rsidRPr="0042222E">
        <w:rPr>
          <w:rFonts w:ascii="Times New Roman" w:hAnsi="Times New Roman" w:cs="Times New Roman"/>
        </w:rPr>
        <w:t>the best premium possible</w:t>
      </w:r>
      <w:r w:rsidRPr="001A08DC">
        <w:rPr>
          <w:rFonts w:ascii="Times New Roman" w:hAnsi="Times New Roman" w:cs="Times New Roman"/>
        </w:rPr>
        <w:t>. We understand that each client is unique, and we are dedicated to offering ta</w:t>
      </w:r>
      <w:r w:rsidR="00D325BE" w:rsidRPr="0042222E">
        <w:rPr>
          <w:rFonts w:ascii="Times New Roman" w:hAnsi="Times New Roman" w:cs="Times New Roman"/>
        </w:rPr>
        <w:t>ilo</w:t>
      </w:r>
      <w:r w:rsidRPr="001A08DC">
        <w:rPr>
          <w:rFonts w:ascii="Times New Roman" w:hAnsi="Times New Roman" w:cs="Times New Roman"/>
        </w:rPr>
        <w:t>red solutions that fit your specific circumstances, whether personal or business-related.</w:t>
      </w:r>
      <w:r w:rsidR="00D325BE" w:rsidRPr="0042222E">
        <w:rPr>
          <w:rFonts w:ascii="Times New Roman" w:hAnsi="Times New Roman" w:cs="Times New Roman"/>
        </w:rPr>
        <w:t xml:space="preserve"> </w:t>
      </w:r>
      <w:r w:rsidR="00D325BE" w:rsidRPr="0042222E">
        <w:rPr>
          <w:rFonts w:ascii="Times New Roman" w:hAnsi="Times New Roman" w:cs="Times New Roman"/>
        </w:rPr>
        <w:t>We also provide personalized, quality service that includes professional insurance advice, ongoing policy maintenance and claims support.</w:t>
      </w:r>
    </w:p>
    <w:p w14:paraId="522701AD" w14:textId="562CAB91" w:rsidR="00B62148" w:rsidRPr="001A08DC" w:rsidRDefault="00B62148" w:rsidP="001A08DC">
      <w:pPr>
        <w:rPr>
          <w:rFonts w:ascii="Times New Roman" w:hAnsi="Times New Roman" w:cs="Times New Roman"/>
          <w:b/>
          <w:bCs/>
          <w:u w:val="single"/>
        </w:rPr>
      </w:pPr>
      <w:r w:rsidRPr="0042222E">
        <w:rPr>
          <w:rFonts w:ascii="Times New Roman" w:hAnsi="Times New Roman" w:cs="Times New Roman"/>
          <w:b/>
          <w:bCs/>
          <w:u w:val="single"/>
        </w:rPr>
        <w:t xml:space="preserve">How we get Paid: </w:t>
      </w:r>
    </w:p>
    <w:p w14:paraId="1181E4A5" w14:textId="643E30BA" w:rsidR="00FE1590" w:rsidRPr="0042222E" w:rsidRDefault="00D325BE">
      <w:pPr>
        <w:rPr>
          <w:rFonts w:ascii="Times New Roman" w:hAnsi="Times New Roman" w:cs="Times New Roman"/>
        </w:rPr>
      </w:pPr>
      <w:r w:rsidRPr="0042222E">
        <w:rPr>
          <w:rFonts w:ascii="Times New Roman" w:hAnsi="Times New Roman" w:cs="Times New Roman"/>
        </w:rPr>
        <w:t>In order for us to maintain strong relationships</w:t>
      </w:r>
      <w:r w:rsidR="00613B3A" w:rsidRPr="0042222E">
        <w:rPr>
          <w:rFonts w:ascii="Times New Roman" w:hAnsi="Times New Roman" w:cs="Times New Roman"/>
        </w:rPr>
        <w:t xml:space="preserve">, we are compensated, primarily in the form of commissions paid by the insurance companies we work with. These commissions vary from company to company and on the type of policy written. Please see the table below of the current insurance companies that we represent and the range of compensation each provides as a percentage of your overall policy premium. </w:t>
      </w:r>
    </w:p>
    <w:p w14:paraId="3106700E" w14:textId="488B5FBF" w:rsidR="0083741C" w:rsidRPr="0042222E" w:rsidRDefault="0083741C">
      <w:pPr>
        <w:rPr>
          <w:rFonts w:ascii="Times New Roman" w:hAnsi="Times New Roman" w:cs="Times New Roman"/>
        </w:rPr>
      </w:pPr>
      <w:r w:rsidRPr="0042222E">
        <w:rPr>
          <w:rFonts w:ascii="Times New Roman" w:hAnsi="Times New Roman" w:cs="Times New Roman"/>
        </w:rPr>
        <w:t xml:space="preserve">We may also receive compensation through contingency arrangements with the insurance companies that are marked with an asterisk (*) below. </w:t>
      </w:r>
      <w:r w:rsidRPr="0042222E">
        <w:rPr>
          <w:rFonts w:ascii="Times New Roman" w:hAnsi="Times New Roman" w:cs="Times New Roman"/>
        </w:rPr>
        <w:t xml:space="preserve">Payment of this contingent commission may depend on a combination of growth, profitability (loss ratio), volume, retention and increased services that we provide on behalf of the Insurer. Contingent commission is not guaranteed. </w:t>
      </w:r>
    </w:p>
    <w:p w14:paraId="0CCD6142" w14:textId="52EDD256" w:rsidR="00DB2E7D" w:rsidRPr="0042222E" w:rsidRDefault="00C216A1">
      <w:pPr>
        <w:rPr>
          <w:rFonts w:ascii="Times New Roman" w:hAnsi="Times New Roman" w:cs="Times New Roman"/>
        </w:rPr>
      </w:pPr>
      <w:r w:rsidRPr="0042222E">
        <w:rPr>
          <w:rFonts w:ascii="Times New Roman" w:hAnsi="Times New Roman" w:cs="Times New Roman"/>
        </w:rPr>
        <w:t>At times</w:t>
      </w:r>
      <w:r w:rsidR="00DB2E7D" w:rsidRPr="0042222E">
        <w:rPr>
          <w:rFonts w:ascii="Times New Roman" w:hAnsi="Times New Roman" w:cs="Times New Roman"/>
        </w:rPr>
        <w:t>, we have the need to place coverage with companies known as Managing General Agents (MGA)</w:t>
      </w:r>
      <w:r w:rsidR="00460F8A" w:rsidRPr="0042222E">
        <w:rPr>
          <w:rFonts w:ascii="Times New Roman" w:hAnsi="Times New Roman" w:cs="Times New Roman"/>
        </w:rPr>
        <w:t xml:space="preserve"> that have access to products and insurance companies that we do not represent that are particularly suitable to a client’s needs. The commission we receive for these policies are disclosed on an individual basis. </w:t>
      </w:r>
    </w:p>
    <w:p w14:paraId="47646EDB" w14:textId="404C41F6" w:rsidR="00460F8A" w:rsidRPr="0042222E" w:rsidRDefault="00C216A1">
      <w:pPr>
        <w:rPr>
          <w:rFonts w:ascii="Times New Roman" w:hAnsi="Times New Roman" w:cs="Times New Roman"/>
        </w:rPr>
      </w:pPr>
      <w:r w:rsidRPr="0042222E">
        <w:rPr>
          <w:rFonts w:ascii="Times New Roman" w:hAnsi="Times New Roman" w:cs="Times New Roman"/>
        </w:rPr>
        <w:t xml:space="preserve">On occasion, we use external premium finance companies (First Insurance Funding and IFS) to help finance the payment of </w:t>
      </w:r>
      <w:r w:rsidR="00A966E4" w:rsidRPr="0042222E">
        <w:rPr>
          <w:rFonts w:ascii="Times New Roman" w:hAnsi="Times New Roman" w:cs="Times New Roman"/>
        </w:rPr>
        <w:t>client’s</w:t>
      </w:r>
      <w:r w:rsidRPr="0042222E">
        <w:rPr>
          <w:rFonts w:ascii="Times New Roman" w:hAnsi="Times New Roman" w:cs="Times New Roman"/>
        </w:rPr>
        <w:t xml:space="preserve"> insurance premium. These finance companies may compensate as to cover our cost in arranging the financing. </w:t>
      </w:r>
    </w:p>
    <w:p w14:paraId="5E8F3E4D" w14:textId="71CE9012" w:rsidR="00C216A1" w:rsidRPr="0042222E" w:rsidRDefault="00C216A1">
      <w:pPr>
        <w:rPr>
          <w:rFonts w:ascii="Times New Roman" w:hAnsi="Times New Roman" w:cs="Times New Roman"/>
        </w:rPr>
      </w:pPr>
      <w:r w:rsidRPr="0042222E">
        <w:rPr>
          <w:rFonts w:ascii="Times New Roman" w:hAnsi="Times New Roman" w:cs="Times New Roman"/>
        </w:rPr>
        <w:t xml:space="preserve">Lastly, please note that </w:t>
      </w:r>
      <w:proofErr w:type="spellStart"/>
      <w:r w:rsidRPr="0042222E">
        <w:rPr>
          <w:rFonts w:ascii="Times New Roman" w:hAnsi="Times New Roman" w:cs="Times New Roman"/>
          <w:b/>
          <w:bCs/>
        </w:rPr>
        <w:t>Equisure</w:t>
      </w:r>
      <w:proofErr w:type="spellEnd"/>
      <w:r w:rsidRPr="0042222E">
        <w:rPr>
          <w:rFonts w:ascii="Times New Roman" w:hAnsi="Times New Roman" w:cs="Times New Roman"/>
          <w:b/>
          <w:bCs/>
        </w:rPr>
        <w:t xml:space="preserve"> Financial Network Inc</w:t>
      </w:r>
      <w:r w:rsidRPr="0042222E">
        <w:rPr>
          <w:rFonts w:ascii="Times New Roman" w:hAnsi="Times New Roman" w:cs="Times New Roman"/>
        </w:rPr>
        <w:t xml:space="preserve">., a subsidiary of </w:t>
      </w:r>
      <w:r w:rsidRPr="0042222E">
        <w:rPr>
          <w:rFonts w:ascii="Times New Roman" w:hAnsi="Times New Roman" w:cs="Times New Roman"/>
          <w:b/>
          <w:bCs/>
        </w:rPr>
        <w:t>Intact Financial Corporation</w:t>
      </w:r>
      <w:r w:rsidRPr="0042222E">
        <w:rPr>
          <w:rFonts w:ascii="Times New Roman" w:hAnsi="Times New Roman" w:cs="Times New Roman"/>
        </w:rPr>
        <w:t xml:space="preserve"> holds a minority financial interest in our brokerage. That being said, they have no involvement in day-to-day operations, management or strategic direction of Theoret Martel Insurance. Furthermore, we receive no sales incentives for selling policies with any of our insurance companies, including Intact. </w:t>
      </w:r>
    </w:p>
    <w:p w14:paraId="5A25A2C3" w14:textId="77777777" w:rsidR="00A966E4" w:rsidRPr="00C216A1" w:rsidRDefault="00A966E4" w:rsidP="00A966E4">
      <w:pPr>
        <w:rPr>
          <w:rFonts w:ascii="Times New Roman" w:hAnsi="Times New Roman" w:cs="Times New Roman"/>
        </w:rPr>
      </w:pPr>
      <w:r w:rsidRPr="00C216A1">
        <w:rPr>
          <w:rFonts w:ascii="Times New Roman" w:hAnsi="Times New Roman" w:cs="Times New Roman"/>
        </w:rPr>
        <w:t>We want to assure you that our top priority is always to serve your best interests. We are committed to recommending the most appropriate policies based on your unique needs and preferences, without being influenced by the compensation we receive from insurance providers.</w:t>
      </w:r>
    </w:p>
    <w:p w14:paraId="3B3E6531" w14:textId="1931272B" w:rsidR="00613B3A" w:rsidRPr="0042222E" w:rsidRDefault="00A966E4">
      <w:pPr>
        <w:rPr>
          <w:rFonts w:ascii="Times New Roman" w:hAnsi="Times New Roman" w:cs="Times New Roman"/>
        </w:rPr>
      </w:pPr>
      <w:r w:rsidRPr="00C216A1">
        <w:rPr>
          <w:rFonts w:ascii="Times New Roman" w:hAnsi="Times New Roman" w:cs="Times New Roman"/>
        </w:rPr>
        <w:t>If you have any questions regarding how our brokerage is compensated or how it might affect your coverage options, please do not hesitate to reach out to us. We value your trust and look forward to continuing to serve you with the highest level of professionalism and transparency.</w:t>
      </w:r>
    </w:p>
    <w:tbl>
      <w:tblPr>
        <w:tblStyle w:val="TableGrid"/>
        <w:tblW w:w="0" w:type="auto"/>
        <w:tblLook w:val="04A0" w:firstRow="1" w:lastRow="0" w:firstColumn="1" w:lastColumn="0" w:noHBand="0" w:noVBand="1"/>
      </w:tblPr>
      <w:tblGrid>
        <w:gridCol w:w="2137"/>
        <w:gridCol w:w="2541"/>
        <w:gridCol w:w="2336"/>
        <w:gridCol w:w="2336"/>
      </w:tblGrid>
      <w:tr w:rsidR="00613B3A" w:rsidRPr="0042222E" w14:paraId="2953C933" w14:textId="77777777" w:rsidTr="00FC1393">
        <w:tc>
          <w:tcPr>
            <w:tcW w:w="2178" w:type="dxa"/>
          </w:tcPr>
          <w:p w14:paraId="491EADB5" w14:textId="525E68D6" w:rsidR="00613B3A" w:rsidRPr="0042222E" w:rsidRDefault="00613B3A" w:rsidP="00FC1393">
            <w:pPr>
              <w:jc w:val="center"/>
              <w:rPr>
                <w:rFonts w:ascii="Times New Roman" w:hAnsi="Times New Roman" w:cs="Times New Roman"/>
              </w:rPr>
            </w:pPr>
            <w:r w:rsidRPr="0042222E">
              <w:rPr>
                <w:rFonts w:ascii="Times New Roman" w:hAnsi="Times New Roman" w:cs="Times New Roman"/>
              </w:rPr>
              <w:lastRenderedPageBreak/>
              <w:t>Insurance Company</w:t>
            </w:r>
          </w:p>
        </w:tc>
        <w:tc>
          <w:tcPr>
            <w:tcW w:w="2610" w:type="dxa"/>
          </w:tcPr>
          <w:p w14:paraId="38FAD8BD" w14:textId="7613887B" w:rsidR="00613B3A" w:rsidRPr="0042222E" w:rsidRDefault="00613B3A" w:rsidP="00FC1393">
            <w:pPr>
              <w:jc w:val="center"/>
              <w:rPr>
                <w:rFonts w:ascii="Times New Roman" w:hAnsi="Times New Roman" w:cs="Times New Roman"/>
              </w:rPr>
            </w:pPr>
            <w:r w:rsidRPr="0042222E">
              <w:rPr>
                <w:rFonts w:ascii="Times New Roman" w:hAnsi="Times New Roman" w:cs="Times New Roman"/>
              </w:rPr>
              <w:t>Automobile Commission Range</w:t>
            </w:r>
          </w:p>
        </w:tc>
        <w:tc>
          <w:tcPr>
            <w:tcW w:w="2394" w:type="dxa"/>
          </w:tcPr>
          <w:p w14:paraId="0A59984A" w14:textId="3669CE48" w:rsidR="00613B3A" w:rsidRPr="0042222E" w:rsidRDefault="00613B3A" w:rsidP="00FC1393">
            <w:pPr>
              <w:jc w:val="center"/>
              <w:rPr>
                <w:rFonts w:ascii="Times New Roman" w:hAnsi="Times New Roman" w:cs="Times New Roman"/>
              </w:rPr>
            </w:pPr>
            <w:r w:rsidRPr="0042222E">
              <w:rPr>
                <w:rFonts w:ascii="Times New Roman" w:hAnsi="Times New Roman" w:cs="Times New Roman"/>
              </w:rPr>
              <w:t>Property Commission Range</w:t>
            </w:r>
          </w:p>
        </w:tc>
        <w:tc>
          <w:tcPr>
            <w:tcW w:w="2394" w:type="dxa"/>
          </w:tcPr>
          <w:p w14:paraId="2A340941" w14:textId="6ABF9A42" w:rsidR="00613B3A" w:rsidRPr="0042222E" w:rsidRDefault="00613B3A" w:rsidP="00FC1393">
            <w:pPr>
              <w:jc w:val="center"/>
              <w:rPr>
                <w:rFonts w:ascii="Times New Roman" w:hAnsi="Times New Roman" w:cs="Times New Roman"/>
              </w:rPr>
            </w:pPr>
            <w:r w:rsidRPr="0042222E">
              <w:rPr>
                <w:rFonts w:ascii="Times New Roman" w:hAnsi="Times New Roman" w:cs="Times New Roman"/>
              </w:rPr>
              <w:t>Commercial Commission Range</w:t>
            </w:r>
          </w:p>
        </w:tc>
      </w:tr>
      <w:tr w:rsidR="00613B3A" w:rsidRPr="0042222E" w14:paraId="52131197" w14:textId="77777777" w:rsidTr="00FC1393">
        <w:tc>
          <w:tcPr>
            <w:tcW w:w="2178" w:type="dxa"/>
          </w:tcPr>
          <w:p w14:paraId="0E5A610D" w14:textId="593851D8" w:rsidR="00613B3A" w:rsidRPr="0042222E" w:rsidRDefault="00FC1393">
            <w:pPr>
              <w:rPr>
                <w:rFonts w:ascii="Times New Roman" w:hAnsi="Times New Roman" w:cs="Times New Roman"/>
              </w:rPr>
            </w:pPr>
            <w:r w:rsidRPr="0042222E">
              <w:rPr>
                <w:rFonts w:ascii="Times New Roman" w:hAnsi="Times New Roman" w:cs="Times New Roman"/>
              </w:rPr>
              <w:t>Aviva</w:t>
            </w:r>
          </w:p>
        </w:tc>
        <w:tc>
          <w:tcPr>
            <w:tcW w:w="2610" w:type="dxa"/>
          </w:tcPr>
          <w:p w14:paraId="3C49FA0D" w14:textId="4047390F" w:rsidR="00613B3A" w:rsidRPr="0042222E" w:rsidRDefault="00FC1393">
            <w:pPr>
              <w:rPr>
                <w:rFonts w:ascii="Times New Roman" w:hAnsi="Times New Roman" w:cs="Times New Roman"/>
              </w:rPr>
            </w:pPr>
            <w:r w:rsidRPr="0042222E">
              <w:rPr>
                <w:rFonts w:ascii="Times New Roman" w:hAnsi="Times New Roman" w:cs="Times New Roman"/>
              </w:rPr>
              <w:t>10-12.5%*</w:t>
            </w:r>
          </w:p>
        </w:tc>
        <w:tc>
          <w:tcPr>
            <w:tcW w:w="2394" w:type="dxa"/>
          </w:tcPr>
          <w:p w14:paraId="7D0AA5C0" w14:textId="270C61B4" w:rsidR="00613B3A" w:rsidRPr="0042222E" w:rsidRDefault="00EF2547">
            <w:pPr>
              <w:rPr>
                <w:rFonts w:ascii="Times New Roman" w:hAnsi="Times New Roman" w:cs="Times New Roman"/>
              </w:rPr>
            </w:pPr>
            <w:r w:rsidRPr="0042222E">
              <w:rPr>
                <w:rFonts w:ascii="Times New Roman" w:hAnsi="Times New Roman" w:cs="Times New Roman"/>
              </w:rPr>
              <w:t>20%*</w:t>
            </w:r>
          </w:p>
        </w:tc>
        <w:tc>
          <w:tcPr>
            <w:tcW w:w="2394" w:type="dxa"/>
          </w:tcPr>
          <w:p w14:paraId="1C85BF92" w14:textId="496D924C" w:rsidR="00613B3A" w:rsidRPr="0042222E" w:rsidRDefault="001936B0">
            <w:pPr>
              <w:rPr>
                <w:rFonts w:ascii="Times New Roman" w:hAnsi="Times New Roman" w:cs="Times New Roman"/>
              </w:rPr>
            </w:pPr>
            <w:r w:rsidRPr="0042222E">
              <w:rPr>
                <w:rFonts w:ascii="Times New Roman" w:hAnsi="Times New Roman" w:cs="Times New Roman"/>
              </w:rPr>
              <w:t>20%*</w:t>
            </w:r>
          </w:p>
        </w:tc>
      </w:tr>
      <w:tr w:rsidR="00EF2547" w:rsidRPr="0042222E" w14:paraId="716AFDB9" w14:textId="77777777" w:rsidTr="00FC1393">
        <w:tc>
          <w:tcPr>
            <w:tcW w:w="2178" w:type="dxa"/>
          </w:tcPr>
          <w:p w14:paraId="4096A79F" w14:textId="2089FB45" w:rsidR="00EF2547" w:rsidRPr="0042222E" w:rsidRDefault="00EF2547" w:rsidP="00EF2547">
            <w:pPr>
              <w:rPr>
                <w:rFonts w:ascii="Times New Roman" w:hAnsi="Times New Roman" w:cs="Times New Roman"/>
              </w:rPr>
            </w:pPr>
            <w:r w:rsidRPr="0042222E">
              <w:rPr>
                <w:rFonts w:ascii="Times New Roman" w:hAnsi="Times New Roman" w:cs="Times New Roman"/>
              </w:rPr>
              <w:t xml:space="preserve">Intact </w:t>
            </w:r>
          </w:p>
        </w:tc>
        <w:tc>
          <w:tcPr>
            <w:tcW w:w="2610" w:type="dxa"/>
          </w:tcPr>
          <w:p w14:paraId="6EA94976" w14:textId="45A1A229" w:rsidR="00EF2547" w:rsidRPr="0042222E" w:rsidRDefault="00EF2547" w:rsidP="00EF2547">
            <w:pPr>
              <w:rPr>
                <w:rFonts w:ascii="Times New Roman" w:hAnsi="Times New Roman" w:cs="Times New Roman"/>
              </w:rPr>
            </w:pPr>
            <w:r w:rsidRPr="0042222E">
              <w:rPr>
                <w:rFonts w:ascii="Times New Roman" w:hAnsi="Times New Roman" w:cs="Times New Roman"/>
              </w:rPr>
              <w:t>10-12.5%*</w:t>
            </w:r>
          </w:p>
        </w:tc>
        <w:tc>
          <w:tcPr>
            <w:tcW w:w="2394" w:type="dxa"/>
          </w:tcPr>
          <w:p w14:paraId="6F7437BD" w14:textId="33FFFD5E" w:rsidR="00EF2547" w:rsidRPr="0042222E" w:rsidRDefault="00EF2547" w:rsidP="00EF2547">
            <w:pPr>
              <w:rPr>
                <w:rFonts w:ascii="Times New Roman" w:hAnsi="Times New Roman" w:cs="Times New Roman"/>
              </w:rPr>
            </w:pPr>
            <w:r w:rsidRPr="0042222E">
              <w:rPr>
                <w:rFonts w:ascii="Times New Roman" w:hAnsi="Times New Roman" w:cs="Times New Roman"/>
              </w:rPr>
              <w:t>20%*</w:t>
            </w:r>
          </w:p>
        </w:tc>
        <w:tc>
          <w:tcPr>
            <w:tcW w:w="2394" w:type="dxa"/>
          </w:tcPr>
          <w:p w14:paraId="588B41DF" w14:textId="6CFF47DF" w:rsidR="00EF2547" w:rsidRPr="0042222E" w:rsidRDefault="001936B0" w:rsidP="00EF2547">
            <w:pPr>
              <w:rPr>
                <w:rFonts w:ascii="Times New Roman" w:hAnsi="Times New Roman" w:cs="Times New Roman"/>
              </w:rPr>
            </w:pPr>
            <w:r w:rsidRPr="0042222E">
              <w:rPr>
                <w:rFonts w:ascii="Times New Roman" w:hAnsi="Times New Roman" w:cs="Times New Roman"/>
              </w:rPr>
              <w:t>20%*</w:t>
            </w:r>
          </w:p>
        </w:tc>
      </w:tr>
      <w:tr w:rsidR="00EF2547" w:rsidRPr="0042222E" w14:paraId="7288FD6C" w14:textId="77777777" w:rsidTr="00FC1393">
        <w:tc>
          <w:tcPr>
            <w:tcW w:w="2178" w:type="dxa"/>
          </w:tcPr>
          <w:p w14:paraId="309489C2" w14:textId="502F5549" w:rsidR="00EF2547" w:rsidRPr="0042222E" w:rsidRDefault="00EF2547" w:rsidP="00EF2547">
            <w:pPr>
              <w:rPr>
                <w:rFonts w:ascii="Times New Roman" w:hAnsi="Times New Roman" w:cs="Times New Roman"/>
              </w:rPr>
            </w:pPr>
            <w:r w:rsidRPr="0042222E">
              <w:rPr>
                <w:rFonts w:ascii="Times New Roman" w:hAnsi="Times New Roman" w:cs="Times New Roman"/>
              </w:rPr>
              <w:t>Economical</w:t>
            </w:r>
          </w:p>
        </w:tc>
        <w:tc>
          <w:tcPr>
            <w:tcW w:w="2610" w:type="dxa"/>
          </w:tcPr>
          <w:p w14:paraId="4D75B284" w14:textId="4537CD9B" w:rsidR="00EF2547" w:rsidRPr="0042222E" w:rsidRDefault="00EF2547" w:rsidP="00EF2547">
            <w:pPr>
              <w:rPr>
                <w:rFonts w:ascii="Times New Roman" w:hAnsi="Times New Roman" w:cs="Times New Roman"/>
              </w:rPr>
            </w:pPr>
            <w:r w:rsidRPr="0042222E">
              <w:rPr>
                <w:rFonts w:ascii="Times New Roman" w:hAnsi="Times New Roman" w:cs="Times New Roman"/>
              </w:rPr>
              <w:t>10-12.5%*</w:t>
            </w:r>
          </w:p>
        </w:tc>
        <w:tc>
          <w:tcPr>
            <w:tcW w:w="2394" w:type="dxa"/>
          </w:tcPr>
          <w:p w14:paraId="374E4007" w14:textId="7E9772E8" w:rsidR="00EF2547" w:rsidRPr="0042222E" w:rsidRDefault="00EF2547" w:rsidP="00EF2547">
            <w:pPr>
              <w:rPr>
                <w:rFonts w:ascii="Times New Roman" w:hAnsi="Times New Roman" w:cs="Times New Roman"/>
              </w:rPr>
            </w:pPr>
            <w:r w:rsidRPr="0042222E">
              <w:rPr>
                <w:rFonts w:ascii="Times New Roman" w:hAnsi="Times New Roman" w:cs="Times New Roman"/>
              </w:rPr>
              <w:t>20%*</w:t>
            </w:r>
          </w:p>
        </w:tc>
        <w:tc>
          <w:tcPr>
            <w:tcW w:w="2394" w:type="dxa"/>
          </w:tcPr>
          <w:p w14:paraId="4FFB30B9" w14:textId="18752967" w:rsidR="00EF2547" w:rsidRPr="0042222E" w:rsidRDefault="001936B0" w:rsidP="00EF2547">
            <w:pPr>
              <w:rPr>
                <w:rFonts w:ascii="Times New Roman" w:hAnsi="Times New Roman" w:cs="Times New Roman"/>
              </w:rPr>
            </w:pPr>
            <w:r w:rsidRPr="0042222E">
              <w:rPr>
                <w:rFonts w:ascii="Times New Roman" w:hAnsi="Times New Roman" w:cs="Times New Roman"/>
              </w:rPr>
              <w:t>20%*</w:t>
            </w:r>
          </w:p>
        </w:tc>
      </w:tr>
      <w:tr w:rsidR="00EF2547" w:rsidRPr="0042222E" w14:paraId="6FEF4D55" w14:textId="77777777" w:rsidTr="00FC1393">
        <w:tc>
          <w:tcPr>
            <w:tcW w:w="2178" w:type="dxa"/>
          </w:tcPr>
          <w:p w14:paraId="0C6F1EBC" w14:textId="797FDFDB" w:rsidR="00EF2547" w:rsidRPr="0042222E" w:rsidRDefault="00EF2547" w:rsidP="00EF2547">
            <w:pPr>
              <w:rPr>
                <w:rFonts w:ascii="Times New Roman" w:hAnsi="Times New Roman" w:cs="Times New Roman"/>
              </w:rPr>
            </w:pPr>
            <w:r w:rsidRPr="0042222E">
              <w:rPr>
                <w:rFonts w:ascii="Times New Roman" w:hAnsi="Times New Roman" w:cs="Times New Roman"/>
              </w:rPr>
              <w:t xml:space="preserve">The </w:t>
            </w:r>
            <w:proofErr w:type="spellStart"/>
            <w:r w:rsidRPr="0042222E">
              <w:rPr>
                <w:rFonts w:ascii="Times New Roman" w:hAnsi="Times New Roman" w:cs="Times New Roman"/>
              </w:rPr>
              <w:t>Commonwell</w:t>
            </w:r>
            <w:proofErr w:type="spellEnd"/>
          </w:p>
        </w:tc>
        <w:tc>
          <w:tcPr>
            <w:tcW w:w="2610" w:type="dxa"/>
          </w:tcPr>
          <w:p w14:paraId="1DFAC793" w14:textId="01DE90AD" w:rsidR="00EF2547" w:rsidRPr="0042222E" w:rsidRDefault="00EF2547" w:rsidP="00EF2547">
            <w:pPr>
              <w:rPr>
                <w:rFonts w:ascii="Times New Roman" w:hAnsi="Times New Roman" w:cs="Times New Roman"/>
              </w:rPr>
            </w:pPr>
            <w:r w:rsidRPr="0042222E">
              <w:rPr>
                <w:rFonts w:ascii="Times New Roman" w:hAnsi="Times New Roman" w:cs="Times New Roman"/>
              </w:rPr>
              <w:t>10-12.5%*</w:t>
            </w:r>
          </w:p>
        </w:tc>
        <w:tc>
          <w:tcPr>
            <w:tcW w:w="2394" w:type="dxa"/>
          </w:tcPr>
          <w:p w14:paraId="38C70B80" w14:textId="3F59B957" w:rsidR="00EF2547" w:rsidRPr="0042222E" w:rsidRDefault="00EF2547" w:rsidP="00EF2547">
            <w:pPr>
              <w:rPr>
                <w:rFonts w:ascii="Times New Roman" w:hAnsi="Times New Roman" w:cs="Times New Roman"/>
              </w:rPr>
            </w:pPr>
            <w:r w:rsidRPr="0042222E">
              <w:rPr>
                <w:rFonts w:ascii="Times New Roman" w:hAnsi="Times New Roman" w:cs="Times New Roman"/>
              </w:rPr>
              <w:t>20%*</w:t>
            </w:r>
          </w:p>
        </w:tc>
        <w:tc>
          <w:tcPr>
            <w:tcW w:w="2394" w:type="dxa"/>
          </w:tcPr>
          <w:p w14:paraId="4710F0B6" w14:textId="61C223C4" w:rsidR="00EF2547" w:rsidRPr="0042222E" w:rsidRDefault="001936B0" w:rsidP="00EF2547">
            <w:pPr>
              <w:rPr>
                <w:rFonts w:ascii="Times New Roman" w:hAnsi="Times New Roman" w:cs="Times New Roman"/>
              </w:rPr>
            </w:pPr>
            <w:r w:rsidRPr="0042222E">
              <w:rPr>
                <w:rFonts w:ascii="Times New Roman" w:hAnsi="Times New Roman" w:cs="Times New Roman"/>
              </w:rPr>
              <w:t>20%*</w:t>
            </w:r>
          </w:p>
        </w:tc>
      </w:tr>
      <w:tr w:rsidR="00EF2547" w:rsidRPr="0042222E" w14:paraId="6778115F" w14:textId="77777777" w:rsidTr="00FC1393">
        <w:tc>
          <w:tcPr>
            <w:tcW w:w="2178" w:type="dxa"/>
          </w:tcPr>
          <w:p w14:paraId="4A76A034" w14:textId="460E7C97" w:rsidR="00EF2547" w:rsidRPr="0042222E" w:rsidRDefault="00EF2547" w:rsidP="00EF2547">
            <w:pPr>
              <w:rPr>
                <w:rFonts w:ascii="Times New Roman" w:hAnsi="Times New Roman" w:cs="Times New Roman"/>
              </w:rPr>
            </w:pPr>
            <w:r w:rsidRPr="0042222E">
              <w:rPr>
                <w:rFonts w:ascii="Times New Roman" w:hAnsi="Times New Roman" w:cs="Times New Roman"/>
              </w:rPr>
              <w:t>Northbridge</w:t>
            </w:r>
          </w:p>
        </w:tc>
        <w:tc>
          <w:tcPr>
            <w:tcW w:w="2610" w:type="dxa"/>
          </w:tcPr>
          <w:p w14:paraId="43ECBB24" w14:textId="69E8293B" w:rsidR="00EF2547" w:rsidRPr="0042222E" w:rsidRDefault="00EF2547" w:rsidP="00EF2547">
            <w:pPr>
              <w:rPr>
                <w:rFonts w:ascii="Times New Roman" w:hAnsi="Times New Roman" w:cs="Times New Roman"/>
              </w:rPr>
            </w:pPr>
            <w:r w:rsidRPr="0042222E">
              <w:rPr>
                <w:rFonts w:ascii="Times New Roman" w:hAnsi="Times New Roman" w:cs="Times New Roman"/>
              </w:rPr>
              <w:t>10-12.5%</w:t>
            </w:r>
          </w:p>
        </w:tc>
        <w:tc>
          <w:tcPr>
            <w:tcW w:w="2394" w:type="dxa"/>
          </w:tcPr>
          <w:p w14:paraId="6BD41C28" w14:textId="5E0D21F9" w:rsidR="00EF2547" w:rsidRPr="0042222E" w:rsidRDefault="00EF2547" w:rsidP="00EF2547">
            <w:pPr>
              <w:rPr>
                <w:rFonts w:ascii="Times New Roman" w:hAnsi="Times New Roman" w:cs="Times New Roman"/>
              </w:rPr>
            </w:pPr>
            <w:r w:rsidRPr="0042222E">
              <w:rPr>
                <w:rFonts w:ascii="Times New Roman" w:hAnsi="Times New Roman" w:cs="Times New Roman"/>
              </w:rPr>
              <w:t>20%</w:t>
            </w:r>
          </w:p>
        </w:tc>
        <w:tc>
          <w:tcPr>
            <w:tcW w:w="2394" w:type="dxa"/>
          </w:tcPr>
          <w:p w14:paraId="434920B1" w14:textId="5DC5D693" w:rsidR="00EF2547" w:rsidRPr="0042222E" w:rsidRDefault="001936B0" w:rsidP="00EF2547">
            <w:pPr>
              <w:rPr>
                <w:rFonts w:ascii="Times New Roman" w:hAnsi="Times New Roman" w:cs="Times New Roman"/>
              </w:rPr>
            </w:pPr>
            <w:r w:rsidRPr="0042222E">
              <w:rPr>
                <w:rFonts w:ascii="Times New Roman" w:hAnsi="Times New Roman" w:cs="Times New Roman"/>
              </w:rPr>
              <w:t>20%</w:t>
            </w:r>
          </w:p>
        </w:tc>
      </w:tr>
      <w:tr w:rsidR="00EF2547" w:rsidRPr="0042222E" w14:paraId="0FE6A2D1" w14:textId="77777777" w:rsidTr="00FC1393">
        <w:tc>
          <w:tcPr>
            <w:tcW w:w="2178" w:type="dxa"/>
          </w:tcPr>
          <w:p w14:paraId="043F5902" w14:textId="37E2228B" w:rsidR="00EF2547" w:rsidRPr="0042222E" w:rsidRDefault="00EF2547" w:rsidP="00EF2547">
            <w:pPr>
              <w:rPr>
                <w:rFonts w:ascii="Times New Roman" w:hAnsi="Times New Roman" w:cs="Times New Roman"/>
              </w:rPr>
            </w:pPr>
            <w:proofErr w:type="spellStart"/>
            <w:r w:rsidRPr="0042222E">
              <w:rPr>
                <w:rFonts w:ascii="Times New Roman" w:hAnsi="Times New Roman" w:cs="Times New Roman"/>
              </w:rPr>
              <w:t>Jevco</w:t>
            </w:r>
            <w:proofErr w:type="spellEnd"/>
          </w:p>
        </w:tc>
        <w:tc>
          <w:tcPr>
            <w:tcW w:w="2610" w:type="dxa"/>
          </w:tcPr>
          <w:p w14:paraId="0D465FFF" w14:textId="1087031E" w:rsidR="00EF2547" w:rsidRPr="0042222E" w:rsidRDefault="00EF2547" w:rsidP="00EF2547">
            <w:pPr>
              <w:rPr>
                <w:rFonts w:ascii="Times New Roman" w:hAnsi="Times New Roman" w:cs="Times New Roman"/>
              </w:rPr>
            </w:pPr>
            <w:r w:rsidRPr="0042222E">
              <w:rPr>
                <w:rFonts w:ascii="Times New Roman" w:hAnsi="Times New Roman" w:cs="Times New Roman"/>
              </w:rPr>
              <w:t>5-15%</w:t>
            </w:r>
          </w:p>
        </w:tc>
        <w:tc>
          <w:tcPr>
            <w:tcW w:w="2394" w:type="dxa"/>
          </w:tcPr>
          <w:p w14:paraId="5FDD6AF0" w14:textId="38DD3F0D" w:rsidR="00EF2547" w:rsidRPr="0042222E" w:rsidRDefault="00EF2547" w:rsidP="00EF2547">
            <w:pPr>
              <w:rPr>
                <w:rFonts w:ascii="Times New Roman" w:hAnsi="Times New Roman" w:cs="Times New Roman"/>
              </w:rPr>
            </w:pPr>
            <w:r w:rsidRPr="0042222E">
              <w:rPr>
                <w:rFonts w:ascii="Times New Roman" w:hAnsi="Times New Roman" w:cs="Times New Roman"/>
              </w:rPr>
              <w:t>-</w:t>
            </w:r>
          </w:p>
        </w:tc>
        <w:tc>
          <w:tcPr>
            <w:tcW w:w="2394" w:type="dxa"/>
          </w:tcPr>
          <w:p w14:paraId="4C5C66F5" w14:textId="09C5B8DF" w:rsidR="00EF2547" w:rsidRPr="0042222E" w:rsidRDefault="001936B0" w:rsidP="00EF2547">
            <w:pPr>
              <w:rPr>
                <w:rFonts w:ascii="Times New Roman" w:hAnsi="Times New Roman" w:cs="Times New Roman"/>
              </w:rPr>
            </w:pPr>
            <w:r w:rsidRPr="0042222E">
              <w:rPr>
                <w:rFonts w:ascii="Times New Roman" w:hAnsi="Times New Roman" w:cs="Times New Roman"/>
              </w:rPr>
              <w:t>-</w:t>
            </w:r>
          </w:p>
        </w:tc>
      </w:tr>
      <w:tr w:rsidR="00EF2547" w:rsidRPr="0042222E" w14:paraId="3E7F7D04" w14:textId="77777777" w:rsidTr="00FC1393">
        <w:tc>
          <w:tcPr>
            <w:tcW w:w="2178" w:type="dxa"/>
          </w:tcPr>
          <w:p w14:paraId="1E00EF4A" w14:textId="345A5BE8" w:rsidR="00EF2547" w:rsidRPr="0042222E" w:rsidRDefault="00EF2547" w:rsidP="00EF2547">
            <w:pPr>
              <w:rPr>
                <w:rFonts w:ascii="Times New Roman" w:hAnsi="Times New Roman" w:cs="Times New Roman"/>
              </w:rPr>
            </w:pPr>
            <w:r w:rsidRPr="0042222E">
              <w:rPr>
                <w:rFonts w:ascii="Times New Roman" w:hAnsi="Times New Roman" w:cs="Times New Roman"/>
              </w:rPr>
              <w:t>Hagerty</w:t>
            </w:r>
          </w:p>
        </w:tc>
        <w:tc>
          <w:tcPr>
            <w:tcW w:w="2610" w:type="dxa"/>
          </w:tcPr>
          <w:p w14:paraId="24E8A8AD" w14:textId="2265A974" w:rsidR="00EF2547" w:rsidRPr="0042222E" w:rsidRDefault="00EF2547" w:rsidP="00EF2547">
            <w:pPr>
              <w:rPr>
                <w:rFonts w:ascii="Times New Roman" w:hAnsi="Times New Roman" w:cs="Times New Roman"/>
              </w:rPr>
            </w:pPr>
            <w:r w:rsidRPr="0042222E">
              <w:rPr>
                <w:rFonts w:ascii="Times New Roman" w:hAnsi="Times New Roman" w:cs="Times New Roman"/>
              </w:rPr>
              <w:t>12.5%</w:t>
            </w:r>
          </w:p>
        </w:tc>
        <w:tc>
          <w:tcPr>
            <w:tcW w:w="2394" w:type="dxa"/>
          </w:tcPr>
          <w:p w14:paraId="0C9BB092" w14:textId="1AC8974A" w:rsidR="00EF2547" w:rsidRPr="0042222E" w:rsidRDefault="00EF2547" w:rsidP="00EF2547">
            <w:pPr>
              <w:rPr>
                <w:rFonts w:ascii="Times New Roman" w:hAnsi="Times New Roman" w:cs="Times New Roman"/>
              </w:rPr>
            </w:pPr>
            <w:r w:rsidRPr="0042222E">
              <w:rPr>
                <w:rFonts w:ascii="Times New Roman" w:hAnsi="Times New Roman" w:cs="Times New Roman"/>
              </w:rPr>
              <w:t>-</w:t>
            </w:r>
          </w:p>
        </w:tc>
        <w:tc>
          <w:tcPr>
            <w:tcW w:w="2394" w:type="dxa"/>
          </w:tcPr>
          <w:p w14:paraId="4BD17B99" w14:textId="0151F2F8" w:rsidR="00EF2547" w:rsidRPr="0042222E" w:rsidRDefault="001936B0" w:rsidP="00EF2547">
            <w:pPr>
              <w:rPr>
                <w:rFonts w:ascii="Times New Roman" w:hAnsi="Times New Roman" w:cs="Times New Roman"/>
              </w:rPr>
            </w:pPr>
            <w:r w:rsidRPr="0042222E">
              <w:rPr>
                <w:rFonts w:ascii="Times New Roman" w:hAnsi="Times New Roman" w:cs="Times New Roman"/>
              </w:rPr>
              <w:t>-</w:t>
            </w:r>
          </w:p>
        </w:tc>
      </w:tr>
      <w:tr w:rsidR="00EF2547" w:rsidRPr="0042222E" w14:paraId="7210B8BD" w14:textId="77777777" w:rsidTr="00FC1393">
        <w:tc>
          <w:tcPr>
            <w:tcW w:w="2178" w:type="dxa"/>
          </w:tcPr>
          <w:p w14:paraId="27058BB0" w14:textId="7A6049A6" w:rsidR="00EF2547" w:rsidRPr="0042222E" w:rsidRDefault="00EF2547" w:rsidP="00EF2547">
            <w:pPr>
              <w:rPr>
                <w:rFonts w:ascii="Times New Roman" w:hAnsi="Times New Roman" w:cs="Times New Roman"/>
              </w:rPr>
            </w:pPr>
            <w:r w:rsidRPr="0042222E">
              <w:rPr>
                <w:rFonts w:ascii="Times New Roman" w:hAnsi="Times New Roman" w:cs="Times New Roman"/>
              </w:rPr>
              <w:t>Elite</w:t>
            </w:r>
          </w:p>
        </w:tc>
        <w:tc>
          <w:tcPr>
            <w:tcW w:w="2610" w:type="dxa"/>
          </w:tcPr>
          <w:p w14:paraId="1ACCA48C" w14:textId="288F54BF" w:rsidR="00EF2547" w:rsidRPr="0042222E" w:rsidRDefault="00EF2547" w:rsidP="00EF2547">
            <w:pPr>
              <w:rPr>
                <w:rFonts w:ascii="Times New Roman" w:hAnsi="Times New Roman" w:cs="Times New Roman"/>
              </w:rPr>
            </w:pPr>
            <w:r w:rsidRPr="0042222E">
              <w:rPr>
                <w:rFonts w:ascii="Times New Roman" w:hAnsi="Times New Roman" w:cs="Times New Roman"/>
              </w:rPr>
              <w:t>15%</w:t>
            </w:r>
          </w:p>
        </w:tc>
        <w:tc>
          <w:tcPr>
            <w:tcW w:w="2394" w:type="dxa"/>
          </w:tcPr>
          <w:p w14:paraId="37D15EE2" w14:textId="6C5BA7B7" w:rsidR="00EF2547" w:rsidRPr="0042222E" w:rsidRDefault="00EF2547" w:rsidP="00EF2547">
            <w:pPr>
              <w:rPr>
                <w:rFonts w:ascii="Times New Roman" w:hAnsi="Times New Roman" w:cs="Times New Roman"/>
              </w:rPr>
            </w:pPr>
            <w:r w:rsidRPr="0042222E">
              <w:rPr>
                <w:rFonts w:ascii="Times New Roman" w:hAnsi="Times New Roman" w:cs="Times New Roman"/>
              </w:rPr>
              <w:t>20%</w:t>
            </w:r>
          </w:p>
        </w:tc>
        <w:tc>
          <w:tcPr>
            <w:tcW w:w="2394" w:type="dxa"/>
          </w:tcPr>
          <w:p w14:paraId="7631DDA3" w14:textId="3FE2D129" w:rsidR="00EF2547" w:rsidRPr="0042222E" w:rsidRDefault="001936B0" w:rsidP="00EF2547">
            <w:pPr>
              <w:rPr>
                <w:rFonts w:ascii="Times New Roman" w:hAnsi="Times New Roman" w:cs="Times New Roman"/>
              </w:rPr>
            </w:pPr>
            <w:r w:rsidRPr="0042222E">
              <w:rPr>
                <w:rFonts w:ascii="Times New Roman" w:hAnsi="Times New Roman" w:cs="Times New Roman"/>
              </w:rPr>
              <w:t>-</w:t>
            </w:r>
          </w:p>
        </w:tc>
      </w:tr>
      <w:tr w:rsidR="00EF2547" w:rsidRPr="0042222E" w14:paraId="19DCE9EC" w14:textId="77777777" w:rsidTr="00FC1393">
        <w:tc>
          <w:tcPr>
            <w:tcW w:w="2178" w:type="dxa"/>
          </w:tcPr>
          <w:p w14:paraId="3975831B" w14:textId="1B54281A" w:rsidR="00EF2547" w:rsidRPr="0042222E" w:rsidRDefault="00EF2547" w:rsidP="00EF2547">
            <w:pPr>
              <w:rPr>
                <w:rFonts w:ascii="Times New Roman" w:hAnsi="Times New Roman" w:cs="Times New Roman"/>
              </w:rPr>
            </w:pPr>
            <w:r w:rsidRPr="0042222E">
              <w:rPr>
                <w:rFonts w:ascii="Times New Roman" w:hAnsi="Times New Roman" w:cs="Times New Roman"/>
              </w:rPr>
              <w:t>Nordic Facility</w:t>
            </w:r>
          </w:p>
        </w:tc>
        <w:tc>
          <w:tcPr>
            <w:tcW w:w="2610" w:type="dxa"/>
          </w:tcPr>
          <w:p w14:paraId="6C336AAA" w14:textId="3C014383" w:rsidR="00EF2547" w:rsidRPr="0042222E" w:rsidRDefault="00EF2547" w:rsidP="00EF2547">
            <w:pPr>
              <w:rPr>
                <w:rFonts w:ascii="Times New Roman" w:hAnsi="Times New Roman" w:cs="Times New Roman"/>
              </w:rPr>
            </w:pPr>
            <w:r w:rsidRPr="0042222E">
              <w:rPr>
                <w:rFonts w:ascii="Times New Roman" w:hAnsi="Times New Roman" w:cs="Times New Roman"/>
              </w:rPr>
              <w:t>Max $370</w:t>
            </w:r>
          </w:p>
        </w:tc>
        <w:tc>
          <w:tcPr>
            <w:tcW w:w="2394" w:type="dxa"/>
          </w:tcPr>
          <w:p w14:paraId="0B8FDD05" w14:textId="021FA4C9" w:rsidR="00EF2547" w:rsidRPr="0042222E" w:rsidRDefault="00EF2547" w:rsidP="00EF2547">
            <w:pPr>
              <w:rPr>
                <w:rFonts w:ascii="Times New Roman" w:hAnsi="Times New Roman" w:cs="Times New Roman"/>
              </w:rPr>
            </w:pPr>
            <w:r w:rsidRPr="0042222E">
              <w:rPr>
                <w:rFonts w:ascii="Times New Roman" w:hAnsi="Times New Roman" w:cs="Times New Roman"/>
              </w:rPr>
              <w:t>-</w:t>
            </w:r>
          </w:p>
        </w:tc>
        <w:tc>
          <w:tcPr>
            <w:tcW w:w="2394" w:type="dxa"/>
          </w:tcPr>
          <w:p w14:paraId="291EB39A" w14:textId="32C9DE33" w:rsidR="00EF2547" w:rsidRPr="0042222E" w:rsidRDefault="0083741C" w:rsidP="00EF2547">
            <w:pPr>
              <w:rPr>
                <w:rFonts w:ascii="Times New Roman" w:hAnsi="Times New Roman" w:cs="Times New Roman"/>
              </w:rPr>
            </w:pPr>
            <w:r w:rsidRPr="0042222E">
              <w:rPr>
                <w:rFonts w:ascii="Times New Roman" w:hAnsi="Times New Roman" w:cs="Times New Roman"/>
              </w:rPr>
              <w:t>-</w:t>
            </w:r>
          </w:p>
        </w:tc>
      </w:tr>
      <w:tr w:rsidR="00EF2547" w:rsidRPr="0042222E" w14:paraId="2FDABF1A" w14:textId="77777777" w:rsidTr="00FC1393">
        <w:tc>
          <w:tcPr>
            <w:tcW w:w="2178" w:type="dxa"/>
          </w:tcPr>
          <w:p w14:paraId="412C27B1" w14:textId="09C51766" w:rsidR="00EF2547" w:rsidRPr="0042222E" w:rsidRDefault="00EF2547" w:rsidP="00EF2547">
            <w:pPr>
              <w:rPr>
                <w:rFonts w:ascii="Times New Roman" w:hAnsi="Times New Roman" w:cs="Times New Roman"/>
              </w:rPr>
            </w:pPr>
            <w:r w:rsidRPr="0042222E">
              <w:rPr>
                <w:rFonts w:ascii="Times New Roman" w:hAnsi="Times New Roman" w:cs="Times New Roman"/>
              </w:rPr>
              <w:t>Premier</w:t>
            </w:r>
          </w:p>
        </w:tc>
        <w:tc>
          <w:tcPr>
            <w:tcW w:w="2610" w:type="dxa"/>
          </w:tcPr>
          <w:p w14:paraId="55FB9B53" w14:textId="7DCA7345" w:rsidR="00EF2547" w:rsidRPr="0042222E" w:rsidRDefault="00EF2547" w:rsidP="00EF2547">
            <w:pPr>
              <w:rPr>
                <w:rFonts w:ascii="Times New Roman" w:hAnsi="Times New Roman" w:cs="Times New Roman"/>
              </w:rPr>
            </w:pPr>
            <w:r w:rsidRPr="0042222E">
              <w:rPr>
                <w:rFonts w:ascii="Times New Roman" w:hAnsi="Times New Roman" w:cs="Times New Roman"/>
              </w:rPr>
              <w:t>-</w:t>
            </w:r>
          </w:p>
        </w:tc>
        <w:tc>
          <w:tcPr>
            <w:tcW w:w="2394" w:type="dxa"/>
          </w:tcPr>
          <w:p w14:paraId="308299D1" w14:textId="61565716" w:rsidR="00EF2547" w:rsidRPr="0042222E" w:rsidRDefault="00EF2547" w:rsidP="00EF2547">
            <w:pPr>
              <w:rPr>
                <w:rFonts w:ascii="Times New Roman" w:hAnsi="Times New Roman" w:cs="Times New Roman"/>
              </w:rPr>
            </w:pPr>
            <w:r w:rsidRPr="0042222E">
              <w:rPr>
                <w:rFonts w:ascii="Times New Roman" w:hAnsi="Times New Roman" w:cs="Times New Roman"/>
              </w:rPr>
              <w:t>15%</w:t>
            </w:r>
          </w:p>
        </w:tc>
        <w:tc>
          <w:tcPr>
            <w:tcW w:w="2394" w:type="dxa"/>
          </w:tcPr>
          <w:p w14:paraId="1D53B886" w14:textId="6C8602D0" w:rsidR="00EF2547" w:rsidRPr="0042222E" w:rsidRDefault="0083741C" w:rsidP="00EF2547">
            <w:pPr>
              <w:rPr>
                <w:rFonts w:ascii="Times New Roman" w:hAnsi="Times New Roman" w:cs="Times New Roman"/>
              </w:rPr>
            </w:pPr>
            <w:r w:rsidRPr="0042222E">
              <w:rPr>
                <w:rFonts w:ascii="Times New Roman" w:hAnsi="Times New Roman" w:cs="Times New Roman"/>
              </w:rPr>
              <w:t>15-17%</w:t>
            </w:r>
          </w:p>
        </w:tc>
      </w:tr>
      <w:tr w:rsidR="00EF2547" w:rsidRPr="0042222E" w14:paraId="5AD6EBC4" w14:textId="77777777" w:rsidTr="00FC1393">
        <w:tc>
          <w:tcPr>
            <w:tcW w:w="2178" w:type="dxa"/>
          </w:tcPr>
          <w:p w14:paraId="65193E0C" w14:textId="5A11F3FF" w:rsidR="00EF2547" w:rsidRPr="0042222E" w:rsidRDefault="00EF2547" w:rsidP="00EF2547">
            <w:pPr>
              <w:rPr>
                <w:rFonts w:ascii="Times New Roman" w:hAnsi="Times New Roman" w:cs="Times New Roman"/>
              </w:rPr>
            </w:pPr>
            <w:r w:rsidRPr="0042222E">
              <w:rPr>
                <w:rFonts w:ascii="Times New Roman" w:hAnsi="Times New Roman" w:cs="Times New Roman"/>
              </w:rPr>
              <w:t>April Marine</w:t>
            </w:r>
          </w:p>
        </w:tc>
        <w:tc>
          <w:tcPr>
            <w:tcW w:w="2610" w:type="dxa"/>
          </w:tcPr>
          <w:p w14:paraId="146E363E" w14:textId="5AB52503" w:rsidR="00EF2547" w:rsidRPr="0042222E" w:rsidRDefault="00EF2547" w:rsidP="00EF2547">
            <w:pPr>
              <w:rPr>
                <w:rFonts w:ascii="Times New Roman" w:hAnsi="Times New Roman" w:cs="Times New Roman"/>
              </w:rPr>
            </w:pPr>
            <w:r w:rsidRPr="0042222E">
              <w:rPr>
                <w:rFonts w:ascii="Times New Roman" w:hAnsi="Times New Roman" w:cs="Times New Roman"/>
              </w:rPr>
              <w:t>-</w:t>
            </w:r>
          </w:p>
        </w:tc>
        <w:tc>
          <w:tcPr>
            <w:tcW w:w="2394" w:type="dxa"/>
          </w:tcPr>
          <w:p w14:paraId="6323A0DE" w14:textId="61EC47AE" w:rsidR="00EF2547" w:rsidRPr="0042222E" w:rsidRDefault="00EF2547" w:rsidP="00EF2547">
            <w:pPr>
              <w:rPr>
                <w:rFonts w:ascii="Times New Roman" w:hAnsi="Times New Roman" w:cs="Times New Roman"/>
              </w:rPr>
            </w:pPr>
            <w:r w:rsidRPr="0042222E">
              <w:rPr>
                <w:rFonts w:ascii="Times New Roman" w:hAnsi="Times New Roman" w:cs="Times New Roman"/>
              </w:rPr>
              <w:t>20%</w:t>
            </w:r>
          </w:p>
        </w:tc>
        <w:tc>
          <w:tcPr>
            <w:tcW w:w="2394" w:type="dxa"/>
          </w:tcPr>
          <w:p w14:paraId="68DF5543" w14:textId="0FBFDC93" w:rsidR="00EF2547" w:rsidRPr="0042222E" w:rsidRDefault="0083741C" w:rsidP="00EF2547">
            <w:pPr>
              <w:rPr>
                <w:rFonts w:ascii="Times New Roman" w:hAnsi="Times New Roman" w:cs="Times New Roman"/>
              </w:rPr>
            </w:pPr>
            <w:r w:rsidRPr="0042222E">
              <w:rPr>
                <w:rFonts w:ascii="Times New Roman" w:hAnsi="Times New Roman" w:cs="Times New Roman"/>
              </w:rPr>
              <w:t>-</w:t>
            </w:r>
          </w:p>
        </w:tc>
      </w:tr>
      <w:tr w:rsidR="001936B0" w:rsidRPr="0042222E" w14:paraId="40D12D59" w14:textId="77777777" w:rsidTr="00FC1393">
        <w:tc>
          <w:tcPr>
            <w:tcW w:w="2178" w:type="dxa"/>
          </w:tcPr>
          <w:p w14:paraId="1FEDC8D9" w14:textId="57EDFF2C" w:rsidR="001936B0" w:rsidRPr="0042222E" w:rsidRDefault="001936B0" w:rsidP="00EF2547">
            <w:pPr>
              <w:rPr>
                <w:rFonts w:ascii="Times New Roman" w:hAnsi="Times New Roman" w:cs="Times New Roman"/>
              </w:rPr>
            </w:pPr>
            <w:r w:rsidRPr="0042222E">
              <w:rPr>
                <w:rFonts w:ascii="Times New Roman" w:hAnsi="Times New Roman" w:cs="Times New Roman"/>
              </w:rPr>
              <w:t>Totten</w:t>
            </w:r>
          </w:p>
        </w:tc>
        <w:tc>
          <w:tcPr>
            <w:tcW w:w="2610" w:type="dxa"/>
          </w:tcPr>
          <w:p w14:paraId="003F0181" w14:textId="1ED4A6C0"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0C296F15" w14:textId="1B58E599"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2C973B78" w14:textId="442DA92D" w:rsidR="001936B0" w:rsidRPr="0042222E" w:rsidRDefault="0083741C" w:rsidP="00EF2547">
            <w:pPr>
              <w:rPr>
                <w:rFonts w:ascii="Times New Roman" w:hAnsi="Times New Roman" w:cs="Times New Roman"/>
              </w:rPr>
            </w:pPr>
            <w:r w:rsidRPr="0042222E">
              <w:rPr>
                <w:rFonts w:ascii="Times New Roman" w:hAnsi="Times New Roman" w:cs="Times New Roman"/>
              </w:rPr>
              <w:t>15%</w:t>
            </w:r>
          </w:p>
        </w:tc>
      </w:tr>
      <w:tr w:rsidR="001936B0" w:rsidRPr="0042222E" w14:paraId="0A744D56" w14:textId="77777777" w:rsidTr="00FC1393">
        <w:tc>
          <w:tcPr>
            <w:tcW w:w="2178" w:type="dxa"/>
          </w:tcPr>
          <w:p w14:paraId="2BB27C31" w14:textId="070DEF58" w:rsidR="001936B0" w:rsidRPr="0042222E" w:rsidRDefault="001936B0" w:rsidP="00EF2547">
            <w:pPr>
              <w:rPr>
                <w:rFonts w:ascii="Times New Roman" w:hAnsi="Times New Roman" w:cs="Times New Roman"/>
              </w:rPr>
            </w:pPr>
            <w:r w:rsidRPr="0042222E">
              <w:rPr>
                <w:rFonts w:ascii="Times New Roman" w:hAnsi="Times New Roman" w:cs="Times New Roman"/>
              </w:rPr>
              <w:t>Victor</w:t>
            </w:r>
          </w:p>
        </w:tc>
        <w:tc>
          <w:tcPr>
            <w:tcW w:w="2610" w:type="dxa"/>
          </w:tcPr>
          <w:p w14:paraId="795330E6" w14:textId="5F0DC9C6"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0787E43D" w14:textId="3C6CE085"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034BB53B" w14:textId="53626C6B" w:rsidR="001936B0" w:rsidRPr="0042222E" w:rsidRDefault="0083741C" w:rsidP="00EF2547">
            <w:pPr>
              <w:rPr>
                <w:rFonts w:ascii="Times New Roman" w:hAnsi="Times New Roman" w:cs="Times New Roman"/>
              </w:rPr>
            </w:pPr>
            <w:r w:rsidRPr="0042222E">
              <w:rPr>
                <w:rFonts w:ascii="Times New Roman" w:hAnsi="Times New Roman" w:cs="Times New Roman"/>
              </w:rPr>
              <w:t>15%</w:t>
            </w:r>
          </w:p>
        </w:tc>
      </w:tr>
      <w:tr w:rsidR="001936B0" w:rsidRPr="0042222E" w14:paraId="0BFBA832" w14:textId="77777777" w:rsidTr="00FC1393">
        <w:tc>
          <w:tcPr>
            <w:tcW w:w="2178" w:type="dxa"/>
          </w:tcPr>
          <w:p w14:paraId="3EB5C28A" w14:textId="29EDBB03" w:rsidR="001936B0" w:rsidRPr="0042222E" w:rsidRDefault="001936B0" w:rsidP="00EF2547">
            <w:pPr>
              <w:rPr>
                <w:rFonts w:ascii="Times New Roman" w:hAnsi="Times New Roman" w:cs="Times New Roman"/>
              </w:rPr>
            </w:pPr>
            <w:r w:rsidRPr="0042222E">
              <w:rPr>
                <w:rFonts w:ascii="Times New Roman" w:hAnsi="Times New Roman" w:cs="Times New Roman"/>
              </w:rPr>
              <w:t>Wynward</w:t>
            </w:r>
          </w:p>
        </w:tc>
        <w:tc>
          <w:tcPr>
            <w:tcW w:w="2610" w:type="dxa"/>
          </w:tcPr>
          <w:p w14:paraId="5DF50006" w14:textId="2F028959"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1B0EC27E" w14:textId="37EE2229"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20482D39" w14:textId="5CEEA850" w:rsidR="001936B0" w:rsidRPr="0042222E" w:rsidRDefault="0083741C" w:rsidP="00EF2547">
            <w:pPr>
              <w:rPr>
                <w:rFonts w:ascii="Times New Roman" w:hAnsi="Times New Roman" w:cs="Times New Roman"/>
              </w:rPr>
            </w:pPr>
            <w:r w:rsidRPr="0042222E">
              <w:rPr>
                <w:rFonts w:ascii="Times New Roman" w:hAnsi="Times New Roman" w:cs="Times New Roman"/>
              </w:rPr>
              <w:t>20%</w:t>
            </w:r>
          </w:p>
        </w:tc>
      </w:tr>
      <w:tr w:rsidR="001936B0" w:rsidRPr="0042222E" w14:paraId="4CF79797" w14:textId="77777777" w:rsidTr="00FC1393">
        <w:tc>
          <w:tcPr>
            <w:tcW w:w="2178" w:type="dxa"/>
          </w:tcPr>
          <w:p w14:paraId="2CAA2B41" w14:textId="152D16B8" w:rsidR="001936B0" w:rsidRPr="0042222E" w:rsidRDefault="001936B0" w:rsidP="00EF2547">
            <w:pPr>
              <w:rPr>
                <w:rFonts w:ascii="Times New Roman" w:hAnsi="Times New Roman" w:cs="Times New Roman"/>
              </w:rPr>
            </w:pPr>
            <w:r w:rsidRPr="0042222E">
              <w:rPr>
                <w:rFonts w:ascii="Times New Roman" w:hAnsi="Times New Roman" w:cs="Times New Roman"/>
              </w:rPr>
              <w:t>South Western</w:t>
            </w:r>
          </w:p>
        </w:tc>
        <w:tc>
          <w:tcPr>
            <w:tcW w:w="2610" w:type="dxa"/>
          </w:tcPr>
          <w:p w14:paraId="174A2EF6" w14:textId="0F5BDBB3"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13F85EC0" w14:textId="45A1628D"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3A5794E3" w14:textId="201C0411" w:rsidR="001936B0" w:rsidRPr="0042222E" w:rsidRDefault="0083741C" w:rsidP="00EF2547">
            <w:pPr>
              <w:rPr>
                <w:rFonts w:ascii="Times New Roman" w:hAnsi="Times New Roman" w:cs="Times New Roman"/>
              </w:rPr>
            </w:pPr>
            <w:r w:rsidRPr="0042222E">
              <w:rPr>
                <w:rFonts w:ascii="Times New Roman" w:hAnsi="Times New Roman" w:cs="Times New Roman"/>
              </w:rPr>
              <w:t>10%</w:t>
            </w:r>
          </w:p>
        </w:tc>
      </w:tr>
      <w:tr w:rsidR="001936B0" w:rsidRPr="0042222E" w14:paraId="16B4AF32" w14:textId="77777777" w:rsidTr="00FC1393">
        <w:tc>
          <w:tcPr>
            <w:tcW w:w="2178" w:type="dxa"/>
          </w:tcPr>
          <w:p w14:paraId="65AC0C8F" w14:textId="62771A40" w:rsidR="001936B0" w:rsidRPr="0042222E" w:rsidRDefault="001936B0" w:rsidP="00EF2547">
            <w:pPr>
              <w:rPr>
                <w:rFonts w:ascii="Times New Roman" w:hAnsi="Times New Roman" w:cs="Times New Roman"/>
              </w:rPr>
            </w:pPr>
            <w:r w:rsidRPr="0042222E">
              <w:rPr>
                <w:rFonts w:ascii="Times New Roman" w:hAnsi="Times New Roman" w:cs="Times New Roman"/>
              </w:rPr>
              <w:t>Sum Insurance</w:t>
            </w:r>
          </w:p>
        </w:tc>
        <w:tc>
          <w:tcPr>
            <w:tcW w:w="2610" w:type="dxa"/>
          </w:tcPr>
          <w:p w14:paraId="146AAFDB" w14:textId="520816A0"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5BE9193B" w14:textId="5B4E8507" w:rsidR="001936B0" w:rsidRPr="0042222E" w:rsidRDefault="0083741C" w:rsidP="00EF2547">
            <w:pPr>
              <w:rPr>
                <w:rFonts w:ascii="Times New Roman" w:hAnsi="Times New Roman" w:cs="Times New Roman"/>
              </w:rPr>
            </w:pPr>
            <w:r w:rsidRPr="0042222E">
              <w:rPr>
                <w:rFonts w:ascii="Times New Roman" w:hAnsi="Times New Roman" w:cs="Times New Roman"/>
              </w:rPr>
              <w:t>-</w:t>
            </w:r>
          </w:p>
        </w:tc>
        <w:tc>
          <w:tcPr>
            <w:tcW w:w="2394" w:type="dxa"/>
          </w:tcPr>
          <w:p w14:paraId="1879E0E0" w14:textId="0E70F787" w:rsidR="001936B0" w:rsidRPr="0042222E" w:rsidRDefault="0083741C" w:rsidP="00EF2547">
            <w:pPr>
              <w:rPr>
                <w:rFonts w:ascii="Times New Roman" w:hAnsi="Times New Roman" w:cs="Times New Roman"/>
              </w:rPr>
            </w:pPr>
            <w:r w:rsidRPr="0042222E">
              <w:rPr>
                <w:rFonts w:ascii="Times New Roman" w:hAnsi="Times New Roman" w:cs="Times New Roman"/>
              </w:rPr>
              <w:t>15%</w:t>
            </w:r>
          </w:p>
        </w:tc>
      </w:tr>
    </w:tbl>
    <w:p w14:paraId="5E66D53C" w14:textId="77777777" w:rsidR="00613B3A" w:rsidRPr="0042222E" w:rsidRDefault="00613B3A">
      <w:pPr>
        <w:rPr>
          <w:rFonts w:ascii="Times New Roman" w:hAnsi="Times New Roman" w:cs="Times New Roman"/>
        </w:rPr>
      </w:pPr>
    </w:p>
    <w:p w14:paraId="502D89CE" w14:textId="79A3ED69" w:rsidR="00B62148" w:rsidRPr="0042222E" w:rsidRDefault="00B62148">
      <w:pPr>
        <w:rPr>
          <w:rFonts w:ascii="Times New Roman" w:hAnsi="Times New Roman" w:cs="Times New Roman"/>
          <w:b/>
          <w:bCs/>
          <w:u w:val="single"/>
        </w:rPr>
      </w:pPr>
      <w:r w:rsidRPr="0042222E">
        <w:rPr>
          <w:rFonts w:ascii="Times New Roman" w:hAnsi="Times New Roman" w:cs="Times New Roman"/>
          <w:b/>
          <w:bCs/>
          <w:u w:val="single"/>
        </w:rPr>
        <w:t>CISRO Principles of Conduct:</w:t>
      </w:r>
    </w:p>
    <w:p w14:paraId="03CCEB4B" w14:textId="198C63ED" w:rsidR="00B62148" w:rsidRDefault="00A966E4">
      <w:pPr>
        <w:rPr>
          <w:rFonts w:ascii="Times New Roman" w:hAnsi="Times New Roman" w:cs="Times New Roman"/>
        </w:rPr>
      </w:pPr>
      <w:r w:rsidRPr="0042222E">
        <w:rPr>
          <w:rFonts w:ascii="Times New Roman" w:hAnsi="Times New Roman" w:cs="Times New Roman"/>
        </w:rPr>
        <w:t>The Canadian Insurance Services Regulatory Organizations (CISRO) has published the</w:t>
      </w:r>
      <w:r w:rsidRPr="0042222E">
        <w:rPr>
          <w:rFonts w:ascii="Times New Roman" w:hAnsi="Times New Roman" w:cs="Times New Roman"/>
        </w:rPr>
        <w:t xml:space="preserve"> </w:t>
      </w:r>
      <w:r w:rsidRPr="0042222E">
        <w:rPr>
          <w:rFonts w:ascii="Times New Roman" w:hAnsi="Times New Roman" w:cs="Times New Roman"/>
          <w:u w:val="single"/>
        </w:rPr>
        <w:t>Princip</w:t>
      </w:r>
      <w:r w:rsidRPr="0042222E">
        <w:rPr>
          <w:rFonts w:ascii="Times New Roman" w:hAnsi="Times New Roman" w:cs="Times New Roman"/>
          <w:u w:val="single"/>
        </w:rPr>
        <w:t>l</w:t>
      </w:r>
      <w:r w:rsidRPr="0042222E">
        <w:rPr>
          <w:rFonts w:ascii="Times New Roman" w:hAnsi="Times New Roman" w:cs="Times New Roman"/>
          <w:u w:val="single"/>
        </w:rPr>
        <w:t>es of Conduct for Insurance I</w:t>
      </w:r>
      <w:r w:rsidRPr="0042222E">
        <w:rPr>
          <w:rFonts w:ascii="Times New Roman" w:hAnsi="Times New Roman" w:cs="Times New Roman"/>
          <w:u w:val="single"/>
        </w:rPr>
        <w:t>n</w:t>
      </w:r>
      <w:r w:rsidRPr="0042222E">
        <w:rPr>
          <w:rFonts w:ascii="Times New Roman" w:hAnsi="Times New Roman" w:cs="Times New Roman"/>
          <w:u w:val="single"/>
        </w:rPr>
        <w:t>termediaries</w:t>
      </w:r>
      <w:r w:rsidRPr="0042222E">
        <w:rPr>
          <w:rFonts w:ascii="Times New Roman" w:hAnsi="Times New Roman" w:cs="Times New Roman"/>
        </w:rPr>
        <w:t xml:space="preserve"> </w:t>
      </w:r>
      <w:r w:rsidR="00B62148" w:rsidRPr="0042222E">
        <w:rPr>
          <w:rFonts w:ascii="Times New Roman" w:hAnsi="Times New Roman" w:cs="Times New Roman"/>
        </w:rPr>
        <w:t xml:space="preserve">which articulates expectations for professional behaviour and conduct responsibilities for the fair treatment of customers. </w:t>
      </w:r>
      <w:r w:rsidR="0042222E" w:rsidRPr="0042222E">
        <w:rPr>
          <w:rFonts w:ascii="Times New Roman" w:hAnsi="Times New Roman" w:cs="Times New Roman"/>
        </w:rPr>
        <w:t>For further information please visit</w:t>
      </w:r>
      <w:r w:rsidR="00026DC9">
        <w:rPr>
          <w:rFonts w:ascii="Times New Roman" w:hAnsi="Times New Roman" w:cs="Times New Roman"/>
        </w:rPr>
        <w:t xml:space="preserve"> </w:t>
      </w:r>
      <w:hyperlink r:id="rId6" w:history="1">
        <w:r w:rsidR="00026DC9" w:rsidRPr="00C16B48">
          <w:rPr>
            <w:rStyle w:val="Hyperlink"/>
            <w:rFonts w:ascii="Times New Roman" w:hAnsi="Times New Roman" w:cs="Times New Roman"/>
          </w:rPr>
          <w:t>https://www.cis</w:t>
        </w:r>
        <w:r w:rsidR="00026DC9" w:rsidRPr="00C16B48">
          <w:rPr>
            <w:rStyle w:val="Hyperlink"/>
            <w:rFonts w:ascii="Times New Roman" w:hAnsi="Times New Roman" w:cs="Times New Roman"/>
          </w:rPr>
          <w:t>r</w:t>
        </w:r>
        <w:r w:rsidR="00026DC9" w:rsidRPr="00C16B48">
          <w:rPr>
            <w:rStyle w:val="Hyperlink"/>
            <w:rFonts w:ascii="Times New Roman" w:hAnsi="Times New Roman" w:cs="Times New Roman"/>
          </w:rPr>
          <w:t>o-ocra.com/Documents/View/2471</w:t>
        </w:r>
      </w:hyperlink>
    </w:p>
    <w:p w14:paraId="7740DAEF" w14:textId="77777777" w:rsidR="00026DC9" w:rsidRPr="0042222E" w:rsidRDefault="00026DC9">
      <w:pPr>
        <w:rPr>
          <w:rFonts w:ascii="Times New Roman" w:hAnsi="Times New Roman" w:cs="Times New Roman"/>
        </w:rPr>
      </w:pPr>
    </w:p>
    <w:p w14:paraId="38C0D331" w14:textId="77777777" w:rsidR="0042222E" w:rsidRPr="0042222E" w:rsidRDefault="0042222E">
      <w:pPr>
        <w:rPr>
          <w:rFonts w:ascii="Times New Roman" w:hAnsi="Times New Roman" w:cs="Times New Roman"/>
        </w:rPr>
      </w:pPr>
      <w:r w:rsidRPr="0042222E">
        <w:rPr>
          <w:rFonts w:ascii="Times New Roman" w:hAnsi="Times New Roman" w:cs="Times New Roman"/>
          <w:b/>
          <w:bCs/>
          <w:u w:val="single"/>
        </w:rPr>
        <w:t>RIBO ‘About your Registered Insurance Broker’ Fact Sheet:</w:t>
      </w:r>
      <w:r w:rsidRPr="0042222E">
        <w:rPr>
          <w:rFonts w:ascii="Times New Roman" w:hAnsi="Times New Roman" w:cs="Times New Roman"/>
        </w:rPr>
        <w:t xml:space="preserve"> </w:t>
      </w:r>
    </w:p>
    <w:p w14:paraId="38A14B1D" w14:textId="4652FB41" w:rsidR="00B62148" w:rsidRDefault="0042222E">
      <w:pPr>
        <w:rPr>
          <w:rFonts w:ascii="Times New Roman" w:hAnsi="Times New Roman" w:cs="Times New Roman"/>
        </w:rPr>
      </w:pPr>
      <w:r w:rsidRPr="0042222E">
        <w:rPr>
          <w:rFonts w:ascii="Times New Roman" w:hAnsi="Times New Roman" w:cs="Times New Roman"/>
        </w:rPr>
        <w:t xml:space="preserve">The fact sheet is designed to help you as a customer understand the obligations we have to you, as your insurance broker and to promote a trusting relationship between customer and broker. </w:t>
      </w:r>
    </w:p>
    <w:p w14:paraId="28F32421" w14:textId="77777777" w:rsidR="00026DC9" w:rsidRDefault="00026DC9">
      <w:pPr>
        <w:rPr>
          <w:rFonts w:ascii="Times New Roman" w:hAnsi="Times New Roman" w:cs="Times New Roman"/>
        </w:rPr>
      </w:pPr>
    </w:p>
    <w:p w14:paraId="1671FA06" w14:textId="30CD881D" w:rsidR="00026DC9" w:rsidRDefault="00026DC9">
      <w:pPr>
        <w:rPr>
          <w:rFonts w:ascii="Times New Roman" w:hAnsi="Times New Roman" w:cs="Times New Roman"/>
        </w:rPr>
      </w:pPr>
      <w:hyperlink r:id="rId7" w:history="1">
        <w:r w:rsidRPr="00C16B48">
          <w:rPr>
            <w:rStyle w:val="Hyperlink"/>
            <w:rFonts w:ascii="Times New Roman" w:hAnsi="Times New Roman" w:cs="Times New Roman"/>
          </w:rPr>
          <w:t>https://www.ribo.com/wp-content/uploads/2022/04/RIBO_Conduct_She</w:t>
        </w:r>
        <w:r w:rsidRPr="00C16B48">
          <w:rPr>
            <w:rStyle w:val="Hyperlink"/>
            <w:rFonts w:ascii="Times New Roman" w:hAnsi="Times New Roman" w:cs="Times New Roman"/>
          </w:rPr>
          <w:t>e</w:t>
        </w:r>
        <w:r w:rsidRPr="00C16B48">
          <w:rPr>
            <w:rStyle w:val="Hyperlink"/>
            <w:rFonts w:ascii="Times New Roman" w:hAnsi="Times New Roman" w:cs="Times New Roman"/>
          </w:rPr>
          <w:t>t_040622-fact_sheet.pdf</w:t>
        </w:r>
      </w:hyperlink>
    </w:p>
    <w:p w14:paraId="4D1A7D55" w14:textId="77777777" w:rsidR="00026DC9" w:rsidRPr="0042222E" w:rsidRDefault="00026DC9">
      <w:pPr>
        <w:rPr>
          <w:rFonts w:ascii="Times New Roman" w:hAnsi="Times New Roman" w:cs="Times New Roman"/>
        </w:rPr>
      </w:pPr>
    </w:p>
    <w:p w14:paraId="20EBE2B4" w14:textId="590585C3" w:rsidR="00B62148" w:rsidRPr="0042222E" w:rsidRDefault="00BE3AF5">
      <w:pPr>
        <w:rPr>
          <w:rFonts w:ascii="Times New Roman" w:hAnsi="Times New Roman" w:cs="Times New Roman"/>
        </w:rPr>
      </w:pPr>
      <w:r>
        <w:rPr>
          <w:rFonts w:ascii="Times New Roman" w:hAnsi="Times New Roman" w:cs="Times New Roman"/>
        </w:rPr>
        <w:t xml:space="preserve">do we want to add take all comers info? </w:t>
      </w:r>
    </w:p>
    <w:sectPr w:rsidR="00B62148" w:rsidRPr="0042222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6E4A5" w14:textId="77777777" w:rsidR="00D156E9" w:rsidRDefault="00D156E9" w:rsidP="001A08DC">
      <w:pPr>
        <w:spacing w:after="0" w:line="240" w:lineRule="auto"/>
      </w:pPr>
      <w:r>
        <w:separator/>
      </w:r>
    </w:p>
  </w:endnote>
  <w:endnote w:type="continuationSeparator" w:id="0">
    <w:p w14:paraId="190FFF6B" w14:textId="77777777" w:rsidR="00D156E9" w:rsidRDefault="00D156E9" w:rsidP="001A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20431" w14:textId="77777777" w:rsidR="00D156E9" w:rsidRDefault="00D156E9" w:rsidP="001A08DC">
      <w:pPr>
        <w:spacing w:after="0" w:line="240" w:lineRule="auto"/>
      </w:pPr>
      <w:r>
        <w:separator/>
      </w:r>
    </w:p>
  </w:footnote>
  <w:footnote w:type="continuationSeparator" w:id="0">
    <w:p w14:paraId="46D51737" w14:textId="77777777" w:rsidR="00D156E9" w:rsidRDefault="00D156E9" w:rsidP="001A0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DC"/>
    <w:rsid w:val="00026DC9"/>
    <w:rsid w:val="001936B0"/>
    <w:rsid w:val="001A08DC"/>
    <w:rsid w:val="0042222E"/>
    <w:rsid w:val="00460F8A"/>
    <w:rsid w:val="00613B3A"/>
    <w:rsid w:val="0083741C"/>
    <w:rsid w:val="00A966E4"/>
    <w:rsid w:val="00B62148"/>
    <w:rsid w:val="00B72B5A"/>
    <w:rsid w:val="00BE3AF5"/>
    <w:rsid w:val="00C216A1"/>
    <w:rsid w:val="00D156E9"/>
    <w:rsid w:val="00D325BE"/>
    <w:rsid w:val="00DB2E7D"/>
    <w:rsid w:val="00EF2547"/>
    <w:rsid w:val="00FC1393"/>
    <w:rsid w:val="00FE1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ABCAB"/>
  <w15:chartTrackingRefBased/>
  <w15:docId w15:val="{49CDED9C-0693-4E1E-B2AD-DF4631AB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8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8DC"/>
    <w:rPr>
      <w:lang w:val="en-CA"/>
    </w:rPr>
  </w:style>
  <w:style w:type="paragraph" w:styleId="Footer">
    <w:name w:val="footer"/>
    <w:basedOn w:val="Normal"/>
    <w:link w:val="FooterChar"/>
    <w:uiPriority w:val="99"/>
    <w:unhideWhenUsed/>
    <w:rsid w:val="001A08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8DC"/>
    <w:rPr>
      <w:lang w:val="en-CA"/>
    </w:rPr>
  </w:style>
  <w:style w:type="table" w:styleId="TableGrid">
    <w:name w:val="Table Grid"/>
    <w:basedOn w:val="TableNormal"/>
    <w:uiPriority w:val="59"/>
    <w:rsid w:val="0061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66E4"/>
    <w:rPr>
      <w:color w:val="0000FF" w:themeColor="hyperlink"/>
      <w:u w:val="single"/>
    </w:rPr>
  </w:style>
  <w:style w:type="character" w:styleId="UnresolvedMention">
    <w:name w:val="Unresolved Mention"/>
    <w:basedOn w:val="DefaultParagraphFont"/>
    <w:uiPriority w:val="99"/>
    <w:semiHidden/>
    <w:unhideWhenUsed/>
    <w:rsid w:val="00A966E4"/>
    <w:rPr>
      <w:color w:val="605E5C"/>
      <w:shd w:val="clear" w:color="auto" w:fill="E1DFDD"/>
    </w:rPr>
  </w:style>
  <w:style w:type="character" w:styleId="FollowedHyperlink">
    <w:name w:val="FollowedHyperlink"/>
    <w:basedOn w:val="DefaultParagraphFont"/>
    <w:uiPriority w:val="99"/>
    <w:semiHidden/>
    <w:unhideWhenUsed/>
    <w:rsid w:val="00B621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19202">
      <w:bodyDiv w:val="1"/>
      <w:marLeft w:val="0"/>
      <w:marRight w:val="0"/>
      <w:marTop w:val="0"/>
      <w:marBottom w:val="0"/>
      <w:divBdr>
        <w:top w:val="none" w:sz="0" w:space="0" w:color="auto"/>
        <w:left w:val="none" w:sz="0" w:space="0" w:color="auto"/>
        <w:bottom w:val="none" w:sz="0" w:space="0" w:color="auto"/>
        <w:right w:val="none" w:sz="0" w:space="0" w:color="auto"/>
      </w:divBdr>
    </w:div>
    <w:div w:id="1022706318">
      <w:bodyDiv w:val="1"/>
      <w:marLeft w:val="0"/>
      <w:marRight w:val="0"/>
      <w:marTop w:val="0"/>
      <w:marBottom w:val="0"/>
      <w:divBdr>
        <w:top w:val="none" w:sz="0" w:space="0" w:color="auto"/>
        <w:left w:val="none" w:sz="0" w:space="0" w:color="auto"/>
        <w:bottom w:val="none" w:sz="0" w:space="0" w:color="auto"/>
        <w:right w:val="none" w:sz="0" w:space="0" w:color="auto"/>
      </w:divBdr>
    </w:div>
    <w:div w:id="1534267327">
      <w:bodyDiv w:val="1"/>
      <w:marLeft w:val="0"/>
      <w:marRight w:val="0"/>
      <w:marTop w:val="0"/>
      <w:marBottom w:val="0"/>
      <w:divBdr>
        <w:top w:val="none" w:sz="0" w:space="0" w:color="auto"/>
        <w:left w:val="none" w:sz="0" w:space="0" w:color="auto"/>
        <w:bottom w:val="none" w:sz="0" w:space="0" w:color="auto"/>
        <w:right w:val="none" w:sz="0" w:space="0" w:color="auto"/>
      </w:divBdr>
    </w:div>
    <w:div w:id="203064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ibo.com/wp-content/uploads/2022/04/RIBO_Conduct_Sheet_040622-fact_shee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sro-ocra.com/Documents/View/247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Albright</dc:creator>
  <cp:keywords/>
  <dc:description/>
  <cp:lastModifiedBy>Faith  Albright</cp:lastModifiedBy>
  <cp:revision>2</cp:revision>
  <dcterms:created xsi:type="dcterms:W3CDTF">2024-12-09T15:06:00Z</dcterms:created>
  <dcterms:modified xsi:type="dcterms:W3CDTF">2024-12-09T17:53:00Z</dcterms:modified>
</cp:coreProperties>
</file>